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E729" w14:textId="4CA0B7A7" w:rsidR="00801A43" w:rsidRPr="003C731B" w:rsidRDefault="003C731B">
      <w:pPr>
        <w:rPr>
          <w:rFonts w:ascii="Times New Roman" w:hAnsi="Times New Roman" w:cs="Times New Roman"/>
          <w:sz w:val="24"/>
          <w:szCs w:val="24"/>
        </w:rPr>
      </w:pPr>
      <w:r w:rsidRPr="003C731B">
        <w:rPr>
          <w:rFonts w:ascii="Times New Roman" w:hAnsi="Times New Roman" w:cs="Times New Roman"/>
          <w:sz w:val="24"/>
          <w:szCs w:val="24"/>
        </w:rPr>
        <w:t>Reply to Teresa Suarez Sanchez</w:t>
      </w:r>
    </w:p>
    <w:p w14:paraId="3B5246B4" w14:textId="3EEB3871" w:rsidR="005A697B" w:rsidRPr="003C731B" w:rsidRDefault="003C731B">
      <w:pPr>
        <w:rPr>
          <w:rFonts w:ascii="Times New Roman" w:hAnsi="Times New Roman" w:cs="Times New Roman"/>
          <w:sz w:val="24"/>
          <w:szCs w:val="24"/>
        </w:rPr>
      </w:pPr>
      <w:r w:rsidRPr="003C731B">
        <w:rPr>
          <w:rFonts w:ascii="Times New Roman" w:hAnsi="Times New Roman" w:cs="Times New Roman"/>
          <w:sz w:val="24"/>
          <w:szCs w:val="24"/>
        </w:rPr>
        <w:t>Hello Teresa, thank you for your appealing post. In your discussion, you gave an eminent domain case example of a hospital in Georgia where a fee of $200 000 had to be paid to the house owner, with an additional $50 000 paid to cater to moving costs.</w:t>
      </w:r>
      <w:r w:rsidR="00EC4913" w:rsidRPr="003C731B">
        <w:rPr>
          <w:rFonts w:ascii="Times New Roman" w:hAnsi="Times New Roman" w:cs="Times New Roman"/>
          <w:sz w:val="24"/>
          <w:szCs w:val="24"/>
        </w:rPr>
        <w:t xml:space="preserve"> You also argued that it was utterly unfair to the property owner even though the hospital offered compensation. However, I believe that the Jury pretty determined the case considering the age of the lady owning the house and the amount of money she received as compensation</w:t>
      </w:r>
      <w:r w:rsidR="00515692" w:rsidRPr="003C731B">
        <w:rPr>
          <w:rFonts w:ascii="Times New Roman" w:hAnsi="Times New Roman" w:cs="Times New Roman"/>
          <w:sz w:val="24"/>
          <w:szCs w:val="24"/>
        </w:rPr>
        <w:t xml:space="preserve"> (Stoebuck, 1971)</w:t>
      </w:r>
      <w:r w:rsidR="00EC4913" w:rsidRPr="003C731B">
        <w:rPr>
          <w:rFonts w:ascii="Times New Roman" w:hAnsi="Times New Roman" w:cs="Times New Roman"/>
          <w:sz w:val="24"/>
          <w:szCs w:val="24"/>
        </w:rPr>
        <w:t>.</w:t>
      </w:r>
    </w:p>
    <w:p w14:paraId="1A6984C7" w14:textId="4759AF08" w:rsidR="00515692" w:rsidRPr="003C731B" w:rsidRDefault="003C731B">
      <w:pPr>
        <w:rPr>
          <w:rFonts w:ascii="Times New Roman" w:hAnsi="Times New Roman" w:cs="Times New Roman"/>
          <w:sz w:val="24"/>
          <w:szCs w:val="24"/>
        </w:rPr>
      </w:pPr>
      <w:r w:rsidRPr="003C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Stoebuck, W. B. (1971). A general theory of eminent domain. </w:t>
      </w:r>
      <w:r w:rsidRPr="003C731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Wash. L. Rev.</w:t>
      </w:r>
      <w:r w:rsidRPr="003C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3C731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47</w:t>
      </w:r>
      <w:r w:rsidRPr="003C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553.</w:t>
      </w:r>
    </w:p>
    <w:p w14:paraId="632AFA6B" w14:textId="5E867570" w:rsidR="00EC4913" w:rsidRPr="003C731B" w:rsidRDefault="003C731B">
      <w:pPr>
        <w:rPr>
          <w:rFonts w:ascii="Times New Roman" w:hAnsi="Times New Roman" w:cs="Times New Roman"/>
          <w:sz w:val="24"/>
          <w:szCs w:val="24"/>
        </w:rPr>
      </w:pPr>
      <w:r w:rsidRPr="003C731B">
        <w:rPr>
          <w:rFonts w:ascii="Times New Roman" w:hAnsi="Times New Roman" w:cs="Times New Roman"/>
          <w:sz w:val="24"/>
          <w:szCs w:val="24"/>
        </w:rPr>
        <w:t>Reply to-</w:t>
      </w:r>
    </w:p>
    <w:p w14:paraId="67542E9D" w14:textId="7590C108" w:rsidR="00EC4913" w:rsidRPr="003C731B" w:rsidRDefault="003C731B">
      <w:pPr>
        <w:rPr>
          <w:rFonts w:ascii="Times New Roman" w:hAnsi="Times New Roman" w:cs="Times New Roman"/>
          <w:sz w:val="24"/>
          <w:szCs w:val="24"/>
        </w:rPr>
      </w:pPr>
      <w:r w:rsidRPr="003C731B">
        <w:rPr>
          <w:rFonts w:ascii="Times New Roman" w:hAnsi="Times New Roman" w:cs="Times New Roman"/>
          <w:sz w:val="24"/>
          <w:szCs w:val="24"/>
        </w:rPr>
        <w:t>Hello, you have written about the case concerning 399 route 22 LLC property in Hillside where compensation of $</w:t>
      </w:r>
      <w:r w:rsidR="00AD30C1" w:rsidRPr="003C731B">
        <w:rPr>
          <w:rFonts w:ascii="Times New Roman" w:hAnsi="Times New Roman" w:cs="Times New Roman"/>
          <w:sz w:val="24"/>
          <w:szCs w:val="24"/>
        </w:rPr>
        <w:t>750 000 although the property attorney sought for $</w:t>
      </w:r>
      <w:r w:rsidRPr="003C731B">
        <w:rPr>
          <w:rFonts w:ascii="Times New Roman" w:hAnsi="Times New Roman" w:cs="Times New Roman"/>
          <w:sz w:val="24"/>
          <w:szCs w:val="24"/>
        </w:rPr>
        <w:t xml:space="preserve">1 080 000 was offered by the court as compensation. Again, you have argued that the case was fairly </w:t>
      </w:r>
      <w:r w:rsidR="00AD30C1" w:rsidRPr="003C731B">
        <w:rPr>
          <w:rFonts w:ascii="Times New Roman" w:hAnsi="Times New Roman" w:cs="Times New Roman"/>
          <w:sz w:val="24"/>
          <w:szCs w:val="24"/>
        </w:rPr>
        <w:t>heard and determined. In my view, the payment given was way too low compared to what the property owner wanted. In this case, I suggest that a rule should be formulated that prevents approval of lower compensations than those wished for by property owners</w:t>
      </w:r>
      <w:r w:rsidR="00515692" w:rsidRPr="003C731B">
        <w:rPr>
          <w:rFonts w:ascii="Times New Roman" w:hAnsi="Times New Roman" w:cs="Times New Roman"/>
          <w:sz w:val="24"/>
          <w:szCs w:val="24"/>
        </w:rPr>
        <w:t xml:space="preserve"> (</w:t>
      </w:r>
      <w:r w:rsidR="00515692" w:rsidRPr="003C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Munch, 1976)</w:t>
      </w:r>
      <w:r w:rsidR="00AD30C1" w:rsidRPr="003C731B">
        <w:rPr>
          <w:rFonts w:ascii="Times New Roman" w:hAnsi="Times New Roman" w:cs="Times New Roman"/>
          <w:sz w:val="24"/>
          <w:szCs w:val="24"/>
        </w:rPr>
        <w:t>.</w:t>
      </w:r>
    </w:p>
    <w:p w14:paraId="4D419227" w14:textId="247DD1B4" w:rsidR="00515692" w:rsidRPr="003C731B" w:rsidRDefault="003C731B">
      <w:pPr>
        <w:rPr>
          <w:rFonts w:ascii="Times New Roman" w:hAnsi="Times New Roman" w:cs="Times New Roman"/>
          <w:sz w:val="24"/>
          <w:szCs w:val="24"/>
        </w:rPr>
      </w:pPr>
      <w:r w:rsidRPr="003C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Munch, P. (1976). An economic analysis of eminent domain. </w:t>
      </w:r>
      <w:r w:rsidRPr="003C731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Political Economy</w:t>
      </w:r>
      <w:r w:rsidRPr="003C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3C731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84</w:t>
      </w:r>
      <w:r w:rsidRPr="003C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473-497.</w:t>
      </w:r>
    </w:p>
    <w:p w14:paraId="2AEE8739" w14:textId="3BE7AFA7" w:rsidR="00AD30C1" w:rsidRPr="003C731B" w:rsidRDefault="003C731B">
      <w:pPr>
        <w:rPr>
          <w:rFonts w:ascii="Times New Roman" w:hAnsi="Times New Roman" w:cs="Times New Roman"/>
          <w:sz w:val="24"/>
          <w:szCs w:val="24"/>
        </w:rPr>
      </w:pPr>
      <w:r w:rsidRPr="003C731B">
        <w:rPr>
          <w:rFonts w:ascii="Times New Roman" w:hAnsi="Times New Roman" w:cs="Times New Roman"/>
          <w:sz w:val="24"/>
          <w:szCs w:val="24"/>
        </w:rPr>
        <w:t xml:space="preserve">Reply </w:t>
      </w:r>
      <w:r w:rsidRPr="003C731B">
        <w:rPr>
          <w:rFonts w:ascii="Times New Roman" w:hAnsi="Times New Roman" w:cs="Times New Roman"/>
          <w:sz w:val="24"/>
          <w:szCs w:val="24"/>
        </w:rPr>
        <w:t>to Dunetrice Bellumy</w:t>
      </w:r>
    </w:p>
    <w:p w14:paraId="424A73BB" w14:textId="67732A84" w:rsidR="00AD30C1" w:rsidRPr="003C731B" w:rsidRDefault="003C731B">
      <w:pPr>
        <w:rPr>
          <w:rFonts w:ascii="Times New Roman" w:hAnsi="Times New Roman" w:cs="Times New Roman"/>
          <w:sz w:val="24"/>
          <w:szCs w:val="24"/>
        </w:rPr>
      </w:pPr>
      <w:r w:rsidRPr="003C731B">
        <w:rPr>
          <w:rFonts w:ascii="Times New Roman" w:hAnsi="Times New Roman" w:cs="Times New Roman"/>
          <w:sz w:val="24"/>
          <w:szCs w:val="24"/>
        </w:rPr>
        <w:t>Hello, thank you for your interesting post. According to your discussion, the owners of the homes were evicted with no compensation, which they received after the eminent domain case was concluded</w:t>
      </w:r>
      <w:r w:rsidR="00515692" w:rsidRPr="003C731B">
        <w:rPr>
          <w:rFonts w:ascii="Times New Roman" w:hAnsi="Times New Roman" w:cs="Times New Roman"/>
          <w:sz w:val="24"/>
          <w:szCs w:val="24"/>
        </w:rPr>
        <w:t xml:space="preserve"> (Lehavi &amp; Licht, 2007)</w:t>
      </w:r>
      <w:r w:rsidRPr="003C731B">
        <w:rPr>
          <w:rFonts w:ascii="Times New Roman" w:hAnsi="Times New Roman" w:cs="Times New Roman"/>
          <w:sz w:val="24"/>
          <w:szCs w:val="24"/>
        </w:rPr>
        <w:t xml:space="preserve">.  Changing the </w:t>
      </w:r>
      <w:r w:rsidRPr="003C731B">
        <w:rPr>
          <w:rFonts w:ascii="Times New Roman" w:hAnsi="Times New Roman" w:cs="Times New Roman"/>
          <w:sz w:val="24"/>
          <w:szCs w:val="24"/>
        </w:rPr>
        <w:t xml:space="preserve">route of a road to pass through the homes of 8 of the condemners of the project by the real estate company makes the </w:t>
      </w:r>
      <w:r w:rsidR="00515692" w:rsidRPr="003C731B">
        <w:rPr>
          <w:rFonts w:ascii="Times New Roman" w:hAnsi="Times New Roman" w:cs="Times New Roman"/>
          <w:sz w:val="24"/>
          <w:szCs w:val="24"/>
        </w:rPr>
        <w:t>case more complicated</w:t>
      </w:r>
      <w:r w:rsidRPr="003C731B">
        <w:rPr>
          <w:rFonts w:ascii="Times New Roman" w:hAnsi="Times New Roman" w:cs="Times New Roman"/>
          <w:sz w:val="24"/>
          <w:szCs w:val="24"/>
        </w:rPr>
        <w:t xml:space="preserve">. </w:t>
      </w:r>
      <w:r w:rsidR="008F1412" w:rsidRPr="003C731B">
        <w:rPr>
          <w:rFonts w:ascii="Times New Roman" w:hAnsi="Times New Roman" w:cs="Times New Roman"/>
          <w:sz w:val="24"/>
          <w:szCs w:val="24"/>
        </w:rPr>
        <w:t>In view, the case was not reasonably determined. Also, the real estate company should have been directed to pay for damages caused and cater for a rebuild of the homes destroyed.</w:t>
      </w:r>
    </w:p>
    <w:p w14:paraId="35F8DF0B" w14:textId="16F5406C" w:rsidR="00515692" w:rsidRPr="003C731B" w:rsidRDefault="003C731B">
      <w:pPr>
        <w:rPr>
          <w:rFonts w:ascii="Times New Roman" w:hAnsi="Times New Roman" w:cs="Times New Roman"/>
          <w:sz w:val="24"/>
          <w:szCs w:val="24"/>
        </w:rPr>
      </w:pPr>
      <w:r w:rsidRPr="003C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Lehavi, A., &amp; Licht, A. N. (2007). Eminent Domain, Inc. </w:t>
      </w:r>
      <w:r w:rsidRPr="003C731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Colum. L. Rev.</w:t>
      </w:r>
      <w:r w:rsidRPr="003C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3C731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107</w:t>
      </w:r>
      <w:r w:rsidRPr="003C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1704.</w:t>
      </w:r>
    </w:p>
    <w:sectPr w:rsidR="00515692" w:rsidRPr="003C7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7B"/>
    <w:rsid w:val="003C731B"/>
    <w:rsid w:val="00515692"/>
    <w:rsid w:val="005A697B"/>
    <w:rsid w:val="00801A43"/>
    <w:rsid w:val="008F1412"/>
    <w:rsid w:val="00AD30C1"/>
    <w:rsid w:val="00E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2495"/>
  <w15:chartTrackingRefBased/>
  <w15:docId w15:val="{C805F5F2-E777-4101-B6F6-E0D35ADC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2021-08-14T16:52:00Z</dcterms:created>
  <dcterms:modified xsi:type="dcterms:W3CDTF">2021-08-14T16:52:00Z</dcterms:modified>
</cp:coreProperties>
</file>